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center"/>
        <w:rPr>
          <w:b/>
          <w:sz w:val="32"/>
        </w:rPr>
      </w:pPr>
      <w:r>
        <w:rPr>
          <w:b/>
          <w:sz w:val="28"/>
        </w:rPr>
        <w:t>Fiche de poste :</w:t>
      </w:r>
      <w:r>
        <w:rPr>
          <w:b/>
          <w:sz w:val="32"/>
        </w:rPr>
        <w:t xml:space="preserve"> PLOMBIER-CHAUFFAGISTE H/F </w:t>
      </w:r>
    </w:p>
    <w:p>
      <w:pPr>
        <w:pStyle w:val="style0"/>
        <w:jc w:val="both"/>
        <w:rPr>
          <w:b/>
          <w:sz w:val="28"/>
          <w:szCs w:val="28"/>
          <w:u w:val="single"/>
        </w:rPr>
      </w:pPr>
      <w:r>
        <w:rPr>
          <w:b/>
          <w:sz w:val="28"/>
          <w:szCs w:val="28"/>
          <w:u w:val="single"/>
        </w:rPr>
        <w:t xml:space="preserve">Mission et objectifs permanents </w:t>
      </w:r>
    </w:p>
    <w:p>
      <w:pPr>
        <w:pStyle w:val="style0"/>
        <w:jc w:val="both"/>
        <w:rPr>
          <w:color w:val="000000"/>
        </w:rPr>
      </w:pPr>
      <w:r>
        <w:rPr>
          <w:color w:val="000000"/>
        </w:rPr>
        <w:t xml:space="preserve">Dans le cadre de la politique définie par l’entreprise, le titulaire de l’emploi réalise la pose, l’entretien et la maintenance des systèmes de plomberie et de chauffage pour professionnels ou particuliers en respectant la réglementation en vigueur. </w:t>
      </w:r>
    </w:p>
    <w:p>
      <w:pPr>
        <w:pStyle w:val="style0"/>
        <w:pBdr>
          <w:top w:color="00000A" w:space="0" w:sz="4" w:val="single"/>
          <w:left w:color="00000A" w:space="0" w:sz="4" w:val="single"/>
          <w:bottom w:val="nil"/>
          <w:insideH w:val="nil"/>
          <w:right w:color="00000A" w:space="0" w:sz="4" w:val="single"/>
          <w:insideV w:color="00000A" w:space="0" w:sz="4" w:val="single"/>
        </w:pBdr>
        <w:jc w:val="center"/>
        <w:rPr>
          <w:b/>
          <w:sz w:val="28"/>
          <w:szCs w:val="28"/>
          <w:u w:val="single"/>
        </w:rPr>
      </w:pPr>
      <w:r>
        <w:rPr>
          <w:b/>
          <w:sz w:val="28"/>
          <w:szCs w:val="28"/>
          <w:u w:val="single"/>
        </w:rPr>
        <w:t>Activités principales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xml:space="preserve">- Étudier et installer des installations sanitaires et des réseaux de canalisations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Calculer les volumes et débits d’eau, de gaz, d’air comprimé…</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Tracer les réseaux de tuyauterie à mettre en place</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Installer et mettre en service des équipements de chauffage, de plomberie chez le client particulier ou professionnel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Contrôler le fonctionnement des équipements après intervention</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Assurer la maintenance et l’entretien des équipements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Détecter les pannes et dresser un premier diagnostic</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Réaliser les interventions de réparation</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xml:space="preserve">- Démonter une ancienne installation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Remplacer les installations usagées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Assurer la mise aux normes d’installation</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Tester l’étanchéité d’une installation</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Câ</w:t>
      </w:r>
      <w:bookmarkStart w:id="0" w:name="_GoBack"/>
      <w:bookmarkEnd w:id="0"/>
      <w:r>
        <w:rPr/>
        <w:t>bler un matériel</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Rédiger les fiches techniques d’interventions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Renseigner les supports de suivi d’intervention</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Former les clients à l’utilisation des équipements</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jc w:val="both"/>
        <w:rPr/>
      </w:pPr>
      <w:r>
        <w:rPr/>
        <w:t>- Gérer la disponibilité permanente du matériel</w:t>
      </w:r>
    </w:p>
    <w:p>
      <w:pPr>
        <w:pStyle w:val="style0"/>
        <w:jc w:val="both"/>
        <w:rPr>
          <w:b/>
          <w:u w:val="single"/>
        </w:rPr>
      </w:pPr>
      <w:r>
        <w:rPr>
          <w:b/>
          <w:u w:val="single"/>
        </w:rPr>
      </w:r>
    </w:p>
    <w:p>
      <w:pPr>
        <w:pStyle w:val="style0"/>
        <w:jc w:val="both"/>
        <w:rPr>
          <w:b/>
          <w:u w:val="single"/>
        </w:rPr>
      </w:pPr>
      <w:r>
        <w:rPr>
          <w:b/>
          <w:u w:val="single"/>
        </w:rPr>
      </w:r>
    </w:p>
    <w:p>
      <w:pPr>
        <w:pStyle w:val="style0"/>
        <w:jc w:val="both"/>
        <w:rPr>
          <w:b/>
          <w:u w:val="single"/>
        </w:rPr>
      </w:pPr>
      <w:r>
        <w:rPr>
          <w:b/>
          <w:u w:val="single"/>
        </w:rPr>
      </w:r>
    </w:p>
    <w:p>
      <w:pPr>
        <w:pStyle w:val="style0"/>
        <w:pBdr>
          <w:top w:color="00000A" w:space="0" w:sz="4" w:val="single"/>
          <w:left w:color="00000A" w:space="0" w:sz="4" w:val="single"/>
          <w:bottom w:val="nil"/>
          <w:insideH w:val="nil"/>
          <w:right w:color="00000A" w:space="0" w:sz="4" w:val="single"/>
          <w:insideV w:color="00000A" w:space="0" w:sz="4" w:val="single"/>
        </w:pBdr>
        <w:jc w:val="center"/>
        <w:rPr>
          <w:b/>
          <w:sz w:val="28"/>
          <w:szCs w:val="28"/>
          <w:u w:val="single"/>
        </w:rPr>
      </w:pPr>
      <w:r>
        <w:rPr>
          <w:b/>
          <w:sz w:val="28"/>
          <w:szCs w:val="28"/>
          <w:u w:val="single"/>
        </w:rPr>
        <w:t xml:space="preserve">Responsabilités / autonomie/conditions de travail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contextualSpacing w:val="false"/>
        <w:jc w:val="both"/>
        <w:rPr/>
      </w:pPr>
      <w:r>
        <w:rPr/>
        <w:t xml:space="preserve">Le plombier-chauffagiste est autonome dans son poste en respectant les consignes de son responsable.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contextualSpacing w:val="false"/>
        <w:jc w:val="both"/>
        <w:rPr/>
      </w:pPr>
      <w:r>
        <w:rPr/>
        <w:t xml:space="preserve">La relation avec la clientèle est quotidienne. </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contextualSpacing w:val="false"/>
        <w:jc w:val="both"/>
        <w:rPr/>
      </w:pPr>
      <w:r>
        <w:rPr/>
        <w:t>Déplacements quotidiens dans le Finistère.</w:t>
      </w:r>
    </w:p>
    <w:p>
      <w:pPr>
        <w:pStyle w:val="style0"/>
        <w:pBdr>
          <w:top w:color="00000A" w:space="0" w:sz="4" w:val="single"/>
          <w:left w:color="00000A" w:space="0" w:sz="4" w:val="single"/>
          <w:bottom w:color="00000A" w:space="0" w:sz="4" w:val="single"/>
          <w:insideH w:color="00000A" w:space="0" w:sz="4" w:val="single"/>
          <w:right w:color="00000A" w:space="0" w:sz="4" w:val="single"/>
          <w:insideV w:color="00000A" w:space="0" w:sz="4" w:val="single"/>
        </w:pBdr>
        <w:spacing w:after="0" w:before="0"/>
        <w:contextualSpacing w:val="false"/>
        <w:jc w:val="both"/>
        <w:rPr/>
      </w:pPr>
      <w:r>
        <w:rPr/>
        <w:t>L’activité peut impliquer le port de charges et d’équipements de protection (gants, etc.)</w:t>
      </w:r>
    </w:p>
    <w:p>
      <w:pPr>
        <w:pStyle w:val="style0"/>
        <w:rPr/>
      </w:pPr>
      <w:r>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212"/>
      </w:tblGrid>
      <w:tr>
        <w:trPr>
          <w:cantSplit w:val="false"/>
        </w:trPr>
        <w:tc>
          <w:tcPr>
            <w:tcW w:type="dxa" w:w="9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b/>
                <w:sz w:val="28"/>
                <w:szCs w:val="28"/>
                <w:u w:val="single"/>
              </w:rPr>
            </w:pPr>
            <w:r>
              <w:rPr>
                <w:b/>
                <w:sz w:val="28"/>
                <w:szCs w:val="28"/>
                <w:u w:val="single"/>
              </w:rPr>
              <w:t>Compétences requises pour tenir l’emploi de PLOMBIER-CHAUFFAGISTE</w:t>
            </w:r>
          </w:p>
          <w:p>
            <w:pPr>
              <w:pStyle w:val="style0"/>
              <w:spacing w:after="0" w:before="0" w:line="100" w:lineRule="atLeast"/>
              <w:contextualSpacing w:val="false"/>
              <w:jc w:val="both"/>
              <w:rPr>
                <w:b/>
                <w:u w:val="single"/>
              </w:rPr>
            </w:pPr>
            <w:r>
              <w:rPr>
                <w:b/>
                <w:u w:val="single"/>
              </w:rPr>
            </w:r>
          </w:p>
        </w:tc>
      </w:tr>
      <w:tr>
        <w:trPr>
          <w:cantSplit w:val="false"/>
        </w:trPr>
        <w:tc>
          <w:tcPr>
            <w:tcW w:type="dxa" w:w="921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pPr>
            <w:r>
              <w:rPr/>
            </w:r>
          </w:p>
          <w:p>
            <w:pPr>
              <w:pStyle w:val="style29"/>
              <w:numPr>
                <w:ilvl w:val="0"/>
                <w:numId w:val="1"/>
              </w:numPr>
              <w:spacing w:after="0" w:before="0" w:line="100" w:lineRule="atLeast"/>
              <w:contextualSpacing/>
              <w:jc w:val="both"/>
              <w:rPr>
                <w:b/>
                <w:i/>
              </w:rPr>
            </w:pPr>
            <w:r>
              <w:rPr>
                <w:b/>
                <w:i/>
              </w:rPr>
              <w:t xml:space="preserve">Savoirs, connaissances professionnelles : </w:t>
            </w:r>
          </w:p>
          <w:p>
            <w:pPr>
              <w:pStyle w:val="style29"/>
              <w:numPr>
                <w:ilvl w:val="0"/>
                <w:numId w:val="2"/>
              </w:numPr>
              <w:spacing w:after="0" w:before="0" w:line="100" w:lineRule="atLeast"/>
              <w:contextualSpacing/>
              <w:jc w:val="both"/>
              <w:rPr/>
            </w:pPr>
            <w:r>
              <w:rPr/>
              <w:t>Connaître l’organisation, les règles et procédures internes de l’entreprise</w:t>
            </w:r>
          </w:p>
          <w:p>
            <w:pPr>
              <w:pStyle w:val="style29"/>
              <w:numPr>
                <w:ilvl w:val="0"/>
                <w:numId w:val="2"/>
              </w:numPr>
              <w:spacing w:after="0" w:before="0" w:line="100" w:lineRule="atLeast"/>
              <w:contextualSpacing/>
              <w:jc w:val="both"/>
              <w:rPr/>
            </w:pPr>
            <w:r>
              <w:rPr/>
              <w:t>Connaitre les règles d’hygiène et de sécurité liée à l’activité</w:t>
            </w:r>
          </w:p>
          <w:p>
            <w:pPr>
              <w:pStyle w:val="style29"/>
              <w:numPr>
                <w:ilvl w:val="0"/>
                <w:numId w:val="2"/>
              </w:numPr>
              <w:spacing w:after="0" w:before="0" w:line="100" w:lineRule="atLeast"/>
              <w:contextualSpacing/>
              <w:jc w:val="both"/>
              <w:rPr/>
            </w:pPr>
            <w:r>
              <w:rPr/>
              <w:t>Connaître les techniques de la plomberie</w:t>
            </w:r>
          </w:p>
          <w:p>
            <w:pPr>
              <w:pStyle w:val="style29"/>
              <w:numPr>
                <w:ilvl w:val="0"/>
                <w:numId w:val="2"/>
              </w:numPr>
              <w:spacing w:after="0" w:before="0" w:line="100" w:lineRule="atLeast"/>
              <w:contextualSpacing/>
              <w:jc w:val="both"/>
              <w:rPr/>
            </w:pPr>
            <w:r>
              <w:rPr/>
              <w:t>Connaître les normes des installations de plomberie et de chauffage.</w:t>
            </w:r>
          </w:p>
          <w:p>
            <w:pPr>
              <w:pStyle w:val="style29"/>
              <w:spacing w:after="0" w:before="0" w:line="100" w:lineRule="atLeast"/>
              <w:contextualSpacing/>
              <w:jc w:val="both"/>
              <w:rPr/>
            </w:pPr>
            <w:r>
              <w:rPr/>
            </w:r>
          </w:p>
          <w:p>
            <w:pPr>
              <w:pStyle w:val="style29"/>
              <w:spacing w:after="0" w:before="0" w:line="100" w:lineRule="atLeast"/>
              <w:contextualSpacing/>
              <w:jc w:val="both"/>
              <w:rPr/>
            </w:pPr>
            <w:r>
              <w:rPr/>
            </w:r>
          </w:p>
          <w:p>
            <w:pPr>
              <w:pStyle w:val="style29"/>
              <w:numPr>
                <w:ilvl w:val="0"/>
                <w:numId w:val="3"/>
              </w:numPr>
              <w:spacing w:after="0" w:before="0" w:line="100" w:lineRule="atLeast"/>
              <w:contextualSpacing/>
              <w:jc w:val="both"/>
              <w:rPr>
                <w:b/>
                <w:i/>
              </w:rPr>
            </w:pPr>
            <w:r>
              <w:rPr>
                <w:b/>
                <w:i/>
              </w:rPr>
              <w:t>Savoir-faire, pratiques et expériences professionnelles :</w:t>
            </w:r>
          </w:p>
          <w:p>
            <w:pPr>
              <w:pStyle w:val="style29"/>
              <w:numPr>
                <w:ilvl w:val="0"/>
                <w:numId w:val="4"/>
              </w:numPr>
              <w:spacing w:after="0" w:before="0" w:line="100" w:lineRule="atLeast"/>
              <w:contextualSpacing/>
              <w:jc w:val="both"/>
              <w:rPr/>
            </w:pPr>
            <w:r>
              <w:rPr/>
              <w:t xml:space="preserve">Maîtrise des techniques de plomberie </w:t>
            </w:r>
          </w:p>
          <w:p>
            <w:pPr>
              <w:pStyle w:val="style29"/>
              <w:numPr>
                <w:ilvl w:val="0"/>
                <w:numId w:val="4"/>
              </w:numPr>
              <w:spacing w:after="0" w:before="0" w:line="100" w:lineRule="atLeast"/>
              <w:contextualSpacing/>
              <w:jc w:val="both"/>
              <w:rPr/>
            </w:pPr>
            <w:r>
              <w:rPr/>
              <w:t>Savoir lire et exploiter des notices techniques</w:t>
            </w:r>
          </w:p>
          <w:p>
            <w:pPr>
              <w:pStyle w:val="style29"/>
              <w:numPr>
                <w:ilvl w:val="0"/>
                <w:numId w:val="4"/>
              </w:numPr>
              <w:spacing w:after="0" w:before="0" w:line="100" w:lineRule="atLeast"/>
              <w:contextualSpacing/>
              <w:jc w:val="both"/>
              <w:rPr/>
            </w:pPr>
            <w:r>
              <w:rPr/>
              <w:t>Savoir utiliser des outillages manuels</w:t>
            </w:r>
          </w:p>
          <w:p>
            <w:pPr>
              <w:pStyle w:val="style29"/>
              <w:numPr>
                <w:ilvl w:val="0"/>
                <w:numId w:val="4"/>
              </w:numPr>
              <w:spacing w:after="0" w:before="0" w:line="100" w:lineRule="atLeast"/>
              <w:contextualSpacing/>
              <w:jc w:val="both"/>
              <w:rPr/>
            </w:pPr>
            <w:r>
              <w:rPr/>
              <w:t>Savoir diagnostiquer une panne</w:t>
            </w:r>
          </w:p>
          <w:p>
            <w:pPr>
              <w:pStyle w:val="style29"/>
              <w:numPr>
                <w:ilvl w:val="0"/>
                <w:numId w:val="4"/>
              </w:numPr>
              <w:spacing w:after="0" w:before="0" w:line="100" w:lineRule="atLeast"/>
              <w:contextualSpacing/>
              <w:jc w:val="both"/>
              <w:rPr/>
            </w:pPr>
            <w:r>
              <w:rPr/>
              <w:t>Savoir gérer un stock</w:t>
            </w:r>
          </w:p>
          <w:p>
            <w:pPr>
              <w:pStyle w:val="style29"/>
              <w:numPr>
                <w:ilvl w:val="0"/>
                <w:numId w:val="4"/>
              </w:numPr>
              <w:spacing w:after="0" w:before="0" w:line="100" w:lineRule="atLeast"/>
              <w:contextualSpacing/>
              <w:jc w:val="both"/>
              <w:rPr/>
            </w:pPr>
            <w:r>
              <w:rPr/>
              <w:t>Maîtrise des bases de l’outil informatique</w:t>
            </w:r>
          </w:p>
          <w:p>
            <w:pPr>
              <w:pStyle w:val="style29"/>
              <w:spacing w:after="0" w:before="0" w:line="100" w:lineRule="atLeast"/>
              <w:contextualSpacing/>
              <w:jc w:val="both"/>
              <w:rPr/>
            </w:pPr>
            <w:r>
              <w:rPr/>
            </w:r>
          </w:p>
          <w:p>
            <w:pPr>
              <w:pStyle w:val="style29"/>
              <w:spacing w:after="0" w:before="0" w:line="100" w:lineRule="atLeast"/>
              <w:contextualSpacing/>
              <w:jc w:val="both"/>
              <w:rPr/>
            </w:pPr>
            <w:r>
              <w:rPr/>
            </w:r>
          </w:p>
          <w:p>
            <w:pPr>
              <w:pStyle w:val="style29"/>
              <w:numPr>
                <w:ilvl w:val="0"/>
                <w:numId w:val="5"/>
              </w:numPr>
              <w:spacing w:after="0" w:before="0" w:line="100" w:lineRule="atLeast"/>
              <w:contextualSpacing/>
              <w:jc w:val="both"/>
              <w:rPr>
                <w:b/>
                <w:i/>
              </w:rPr>
            </w:pPr>
            <w:r>
              <w:rPr>
                <w:b/>
                <w:i/>
              </w:rPr>
              <w:t xml:space="preserve">Savoir être, aptitudes et comportements : </w:t>
            </w:r>
          </w:p>
          <w:p>
            <w:pPr>
              <w:pStyle w:val="style29"/>
              <w:numPr>
                <w:ilvl w:val="0"/>
                <w:numId w:val="6"/>
              </w:numPr>
              <w:spacing w:after="0" w:before="0" w:line="100" w:lineRule="atLeast"/>
              <w:contextualSpacing/>
              <w:jc w:val="both"/>
              <w:rPr/>
            </w:pPr>
            <w:r>
              <w:rPr/>
              <w:t>Sens du contact et du service</w:t>
            </w:r>
          </w:p>
          <w:p>
            <w:pPr>
              <w:pStyle w:val="style29"/>
              <w:numPr>
                <w:ilvl w:val="0"/>
                <w:numId w:val="6"/>
              </w:numPr>
              <w:spacing w:after="0" w:before="0" w:line="100" w:lineRule="atLeast"/>
              <w:contextualSpacing/>
              <w:jc w:val="both"/>
              <w:rPr/>
            </w:pPr>
            <w:r>
              <w:rPr/>
              <w:t>Bon relationnel</w:t>
            </w:r>
          </w:p>
          <w:p>
            <w:pPr>
              <w:pStyle w:val="style29"/>
              <w:numPr>
                <w:ilvl w:val="0"/>
                <w:numId w:val="6"/>
              </w:numPr>
              <w:spacing w:after="0" w:before="0" w:line="100" w:lineRule="atLeast"/>
              <w:contextualSpacing/>
              <w:jc w:val="both"/>
              <w:rPr/>
            </w:pPr>
            <w:r>
              <w:rPr/>
              <w:t>Rigueur et méthode</w:t>
            </w:r>
          </w:p>
          <w:p>
            <w:pPr>
              <w:pStyle w:val="style29"/>
              <w:numPr>
                <w:ilvl w:val="0"/>
                <w:numId w:val="6"/>
              </w:numPr>
              <w:spacing w:after="0" w:before="0" w:line="100" w:lineRule="atLeast"/>
              <w:contextualSpacing/>
              <w:jc w:val="both"/>
              <w:rPr/>
            </w:pPr>
            <w:r>
              <w:rPr/>
              <w:t>Sens de l’écoute</w:t>
            </w:r>
          </w:p>
          <w:p>
            <w:pPr>
              <w:pStyle w:val="style29"/>
              <w:numPr>
                <w:ilvl w:val="0"/>
                <w:numId w:val="6"/>
              </w:numPr>
              <w:spacing w:after="0" w:before="0" w:line="100" w:lineRule="atLeast"/>
              <w:contextualSpacing/>
              <w:jc w:val="both"/>
              <w:rPr/>
            </w:pPr>
            <w:r>
              <w:rPr/>
              <w:t>Présentation soignée</w:t>
            </w:r>
          </w:p>
          <w:p>
            <w:pPr>
              <w:pStyle w:val="style29"/>
              <w:numPr>
                <w:ilvl w:val="0"/>
                <w:numId w:val="6"/>
              </w:numPr>
              <w:spacing w:after="0" w:before="0" w:line="100" w:lineRule="atLeast"/>
              <w:contextualSpacing/>
              <w:jc w:val="both"/>
              <w:rPr/>
            </w:pPr>
            <w:r>
              <w:rPr/>
              <w:t>Dynamisme</w:t>
            </w:r>
          </w:p>
          <w:p>
            <w:pPr>
              <w:pStyle w:val="style29"/>
              <w:numPr>
                <w:ilvl w:val="0"/>
                <w:numId w:val="6"/>
              </w:numPr>
              <w:spacing w:after="0" w:before="0" w:line="100" w:lineRule="atLeast"/>
              <w:contextualSpacing/>
              <w:jc w:val="both"/>
              <w:rPr/>
            </w:pPr>
            <w:r>
              <w:rPr/>
              <w:t>Autonomie</w:t>
            </w:r>
          </w:p>
          <w:p>
            <w:pPr>
              <w:pStyle w:val="style29"/>
              <w:numPr>
                <w:ilvl w:val="0"/>
                <w:numId w:val="6"/>
              </w:numPr>
              <w:spacing w:after="0" w:before="0" w:line="100" w:lineRule="atLeast"/>
              <w:contextualSpacing/>
              <w:jc w:val="both"/>
              <w:rPr/>
            </w:pPr>
            <w:r>
              <w:rPr/>
              <w:t>Habileté manuelle</w:t>
            </w:r>
          </w:p>
          <w:p>
            <w:pPr>
              <w:pStyle w:val="style29"/>
              <w:spacing w:after="0" w:before="0" w:line="100" w:lineRule="atLeast"/>
              <w:contextualSpacing/>
              <w:jc w:val="both"/>
              <w:rPr>
                <w:b/>
                <w:u w:val="single"/>
              </w:rPr>
            </w:pPr>
            <w:r>
              <w:rPr>
                <w:b/>
                <w:u w:val="single"/>
              </w:rPr>
            </w:r>
          </w:p>
        </w:tc>
      </w:tr>
    </w:tbl>
    <w:p>
      <w:pPr>
        <w:pStyle w:val="style0"/>
        <w:jc w:val="both"/>
        <w:rPr>
          <w:b/>
          <w:u w:val="single"/>
        </w:rPr>
      </w:pPr>
      <w:r>
        <w:rPr>
          <w:b/>
          <w:u w:val="single"/>
        </w:rPr>
      </w:r>
    </w:p>
    <w:p>
      <w:pPr>
        <w:pStyle w:val="style0"/>
        <w:jc w:val="both"/>
        <w:rPr>
          <w:b/>
        </w:rPr>
      </w:pPr>
      <w:r>
        <w:rPr>
          <w:b/>
          <w:u w:val="single"/>
        </w:rPr>
        <w:t>Fiche de poste remise-le</w:t>
      </w:r>
      <w:r>
        <w:rPr>
          <w:b/>
        </w:rPr>
        <w:t> : …………………………………</w:t>
      </w:r>
    </w:p>
    <w:p>
      <w:pPr>
        <w:pStyle w:val="style0"/>
        <w:jc w:val="both"/>
        <w:rPr>
          <w:b/>
          <w:u w:val="single"/>
        </w:rPr>
      </w:pPr>
      <w:r>
        <w:rPr>
          <w:b/>
          <w:u w:val="single"/>
        </w:rPr>
      </w:r>
    </w:p>
    <w:p>
      <w:pPr>
        <w:pStyle w:val="style0"/>
        <w:jc w:val="both"/>
        <w:rPr>
          <w:b/>
          <w:u w:val="single"/>
        </w:rPr>
      </w:pPr>
      <w:r>
        <w:rPr>
          <w:b/>
          <w:u w:val="single"/>
        </w:rPr>
        <w:t xml:space="preserve">Signature salarié(e) : </w:t>
      </w:r>
    </w:p>
    <w:sectPr>
      <w:headerReference r:id="rId2" w:type="default"/>
      <w:footerReference r:id="rId3" w:type="default"/>
      <w:type w:val="nextPage"/>
      <w:pgSz w:h="16838" w:w="11906"/>
      <w:pgMar w:bottom="1417" w:footer="0" w:gutter="0" w:header="708"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right"/>
      <w:rPr/>
    </w:pPr>
    <w:r>
      <w:rPr/>
      <w:fldChar w:fldCharType="begin"/>
    </w:r>
    <w:r>
      <w:instrText> PAGE </w:instrText>
    </w:r>
    <w:r>
      <w:fldChar w:fldCharType="separate"/>
    </w:r>
    <w:r>
      <w:t>2</w:t>
    </w:r>
    <w:r>
      <w:fldChar w:fldCharType="end"/>
    </w:r>
  </w:p>
  <w:p>
    <w:pPr>
      <w:pStyle w:val="style31"/>
      <w:ind w:hanging="0" w:left="0" w:right="360"/>
      <w:jc w:val="center"/>
      <w:rPr>
        <w:rFonts w:ascii="Arial" w:cs="Arial" w:eastAsia="Calibri" w:hAnsi="Arial"/>
        <w:color w:val="999999"/>
        <w:sz w:val="16"/>
        <w:szCs w:val="16"/>
      </w:rPr>
    </w:pPr>
    <w:r>
      <w:rPr>
        <w:rFonts w:ascii="Arial" w:cs="Arial" w:eastAsia="Calibri" w:hAnsi="Arial"/>
        <w:color w:val="999999"/>
        <w:sz w:val="16"/>
        <w:szCs w:val="16"/>
      </w:rPr>
      <w:t>MEFP Pays de Brest : 1, rue Louis Pidoux 29200 Brest</w:t>
    </w:r>
  </w:p>
  <w:p>
    <w:pPr>
      <w:pStyle w:val="style0"/>
      <w:tabs>
        <w:tab w:leader="none" w:pos="4536" w:val="center"/>
        <w:tab w:leader="none" w:pos="9072" w:val="right"/>
      </w:tabs>
      <w:spacing w:after="0" w:before="0"/>
      <w:contextualSpacing w:val="false"/>
      <w:jc w:val="center"/>
      <w:rPr>
        <w:rStyle w:val="style23"/>
        <w:rFonts w:ascii="Arial" w:cs="Arial" w:eastAsia="Calibri" w:hAnsi="Arial"/>
        <w:color w:val="0000FF"/>
        <w:sz w:val="16"/>
        <w:szCs w:val="16"/>
        <w:u w:val="single"/>
      </w:rPr>
    </w:pPr>
    <w:r>
      <w:rPr>
        <w:rFonts w:ascii="Arial" w:cs="Arial" w:eastAsia="Calibri" w:hAnsi="Arial"/>
        <w:color w:val="999999"/>
        <w:sz w:val="16"/>
        <w:szCs w:val="16"/>
      </w:rPr>
      <w:t xml:space="preserve">Tél : 02 98 42 08 24   Fax : 02 98 42 05 56   E-mail : </w:t>
    </w:r>
    <w:hyperlink r:id="rId1">
      <w:r>
        <w:rPr>
          <w:rStyle w:val="style23"/>
          <w:rFonts w:ascii="Arial" w:cs="Arial" w:eastAsia="Calibri" w:hAnsi="Arial"/>
          <w:color w:val="0000FF"/>
          <w:sz w:val="16"/>
          <w:szCs w:val="16"/>
          <w:u w:val="single"/>
        </w:rPr>
        <w:t>accueil@mefp-paysbrest.com</w:t>
      </w:r>
    </w:hyperlink>
  </w:p>
  <w:p>
    <w:pPr>
      <w:pStyle w:val="style0"/>
      <w:tabs>
        <w:tab w:leader="none" w:pos="4536" w:val="center"/>
        <w:tab w:leader="none" w:pos="9072" w:val="right"/>
      </w:tabs>
      <w:spacing w:after="0" w:before="0"/>
      <w:contextualSpacing w:val="false"/>
      <w:jc w:val="center"/>
      <w:rPr>
        <w:rFonts w:ascii="Arial" w:cs="Arial" w:eastAsia="Calibri" w:hAnsi="Arial"/>
        <w:color w:val="999999"/>
        <w:sz w:val="16"/>
        <w:szCs w:val="16"/>
      </w:rPr>
    </w:pPr>
    <w:r>
      <w:rPr>
        <w:rFonts w:ascii="Arial" w:cs="Arial" w:eastAsia="Calibri" w:hAnsi="Arial"/>
        <w:color w:val="999999"/>
        <w:sz w:val="16"/>
        <w:szCs w:val="16"/>
      </w:rPr>
      <w:t xml:space="preserve">RH TPE – PB RH + </w:t>
    </w:r>
  </w:p>
  <w:p>
    <w:pPr>
      <w:pStyle w:val="style0"/>
      <w:tabs>
        <w:tab w:leader="none" w:pos="4536" w:val="center"/>
        <w:tab w:leader="none" w:pos="9072" w:val="right"/>
      </w:tabs>
      <w:spacing w:after="0" w:before="0"/>
      <w:contextualSpacing w:val="false"/>
      <w:jc w:val="center"/>
      <w:rPr>
        <w:rFonts w:ascii="Arial" w:cs="Arial" w:eastAsia="Calibri" w:hAnsi="Arial"/>
        <w:color w:val="999999"/>
        <w:sz w:val="16"/>
        <w:szCs w:val="16"/>
      </w:rPr>
    </w:pPr>
    <w:r>
      <w:rPr>
        <w:rFonts w:ascii="Arial" w:cs="Arial" w:eastAsia="Calibri" w:hAnsi="Arial"/>
        <w:color w:val="999999"/>
        <w:sz w:val="16"/>
        <w:szCs w:val="16"/>
      </w:rPr>
    </w:r>
  </w:p>
  <w:p>
    <w:pPr>
      <w:pStyle w:val="style3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rPr/>
    </w:pPr>
    <w:r>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r-FR"/>
    </w:rPr>
  </w:style>
  <w:style w:styleId="style15" w:type="character">
    <w:name w:val="Default Paragraph Font"/>
    <w:next w:val="style15"/>
    <w:rPr/>
  </w:style>
  <w:style w:styleId="style16" w:type="character">
    <w:name w:val="En-tête Car"/>
    <w:basedOn w:val="style15"/>
    <w:next w:val="style16"/>
    <w:rPr/>
  </w:style>
  <w:style w:styleId="style17" w:type="character">
    <w:name w:val="Pied de page Car"/>
    <w:basedOn w:val="style15"/>
    <w:next w:val="style17"/>
    <w:rPr/>
  </w:style>
  <w:style w:styleId="style18" w:type="character">
    <w:name w:val="apple-converted-space"/>
    <w:basedOn w:val="style15"/>
    <w:next w:val="style18"/>
    <w:rPr/>
  </w:style>
  <w:style w:styleId="style19" w:type="character">
    <w:name w:val="ListLabel 1"/>
    <w:next w:val="style19"/>
    <w:rPr>
      <w:rFonts w:cs="Calibri"/>
    </w:rPr>
  </w:style>
  <w:style w:styleId="style20" w:type="character">
    <w:name w:val="ListLabel 2"/>
    <w:next w:val="style20"/>
    <w:rPr>
      <w:rFonts w:cs="Courier New"/>
    </w:rPr>
  </w:style>
  <w:style w:styleId="style21" w:type="character">
    <w:name w:val="ListLabel 3"/>
    <w:next w:val="style21"/>
    <w:rPr>
      <w:rFonts w:cs="Calibri"/>
      <w:u w:val="none"/>
    </w:rPr>
  </w:style>
  <w:style w:styleId="style22" w:type="character">
    <w:name w:val="ListLabel 4"/>
    <w:next w:val="style22"/>
    <w:rPr>
      <w:sz w:val="20"/>
    </w:rPr>
  </w:style>
  <w:style w:styleId="style23" w:type="character">
    <w:name w:val="Lien Internet"/>
    <w:next w:val="style23"/>
    <w:rPr>
      <w:color w:val="000080"/>
      <w:u w:val="single"/>
      <w:lang w:bidi="zxx-" w:eastAsia="zxx-" w:val="zxx-"/>
    </w:rPr>
  </w:style>
  <w:style w:styleId="style24" w:type="paragraph">
    <w:name w:val="Titre"/>
    <w:basedOn w:val="style0"/>
    <w:next w:val="style25"/>
    <w:pPr>
      <w:keepNext/>
      <w:spacing w:after="120" w:before="240"/>
      <w:contextualSpacing w:val="false"/>
    </w:pPr>
    <w:rPr>
      <w:rFonts w:ascii="Arial" w:cs="Arial" w:eastAsia="Microsoft YaHei" w:hAnsi="Arial"/>
      <w:sz w:val="28"/>
      <w:szCs w:val="28"/>
    </w:rPr>
  </w:style>
  <w:style w:styleId="style25" w:type="paragraph">
    <w:name w:val="Corps de texte"/>
    <w:basedOn w:val="style0"/>
    <w:next w:val="style25"/>
    <w:pPr>
      <w:spacing w:after="120" w:before="0"/>
      <w:contextualSpacing w:val="false"/>
    </w:pPr>
    <w:rPr/>
  </w:style>
  <w:style w:styleId="style26" w:type="paragraph">
    <w:name w:val="Liste"/>
    <w:basedOn w:val="style25"/>
    <w:next w:val="style26"/>
    <w:pPr/>
    <w:rPr>
      <w:rFonts w:cs="Arial"/>
    </w:rPr>
  </w:style>
  <w:style w:styleId="style27" w:type="paragraph">
    <w:name w:val="Légende"/>
    <w:basedOn w:val="style0"/>
    <w:next w:val="style27"/>
    <w:pPr>
      <w:suppressLineNumbers/>
      <w:spacing w:after="120" w:before="120"/>
      <w:contextualSpacing w:val="false"/>
    </w:pPr>
    <w:rPr>
      <w:rFonts w:cs="Arial"/>
      <w:i/>
      <w:iCs/>
      <w:sz w:val="24"/>
      <w:szCs w:val="24"/>
    </w:rPr>
  </w:style>
  <w:style w:styleId="style28" w:type="paragraph">
    <w:name w:val="Index"/>
    <w:basedOn w:val="style0"/>
    <w:next w:val="style28"/>
    <w:pPr>
      <w:suppressLineNumbers/>
    </w:pPr>
    <w:rPr>
      <w:rFonts w:cs="Arial"/>
    </w:rPr>
  </w:style>
  <w:style w:styleId="style29" w:type="paragraph">
    <w:name w:val="List Paragraph"/>
    <w:basedOn w:val="style0"/>
    <w:next w:val="style29"/>
    <w:pPr>
      <w:spacing w:after="200" w:before="0"/>
      <w:ind w:hanging="0" w:left="720" w:right="0"/>
      <w:contextualSpacing/>
    </w:pPr>
    <w:rPr/>
  </w:style>
  <w:style w:styleId="style30" w:type="paragraph">
    <w:name w:val="En-tête"/>
    <w:basedOn w:val="style0"/>
    <w:next w:val="style30"/>
    <w:pPr>
      <w:tabs>
        <w:tab w:leader="none" w:pos="4536" w:val="center"/>
        <w:tab w:leader="none" w:pos="9072" w:val="right"/>
      </w:tabs>
      <w:spacing w:after="0" w:before="0" w:line="100" w:lineRule="atLeast"/>
      <w:contextualSpacing w:val="false"/>
    </w:pPr>
    <w:rPr/>
  </w:style>
  <w:style w:styleId="style31" w:type="paragraph">
    <w:name w:val="Pied de page"/>
    <w:basedOn w:val="style0"/>
    <w:next w:val="style31"/>
    <w:pPr>
      <w:tabs>
        <w:tab w:leader="none" w:pos="4536" w:val="center"/>
        <w:tab w:leader="none" w:pos="9072"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accueil@mefp-paysbrest.com" TargetMode="External"/>
</Relationships>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2018-02-08T08:48:00Z</dcterms:created>
  <dc:creator>Fleur-anne</dc:creator>
  <cp:lastModifiedBy>Antonine MICLOT</cp:lastModifiedBy>
  <cp:lastPrinted>2015-10-22T13:43:00Z</cp:lastPrinted>
  <dcterms:modified xsi:type="dcterms:W3CDTF">2018-02-12T15:43:00Z</dcterms:modified>
  <cp:revision>4</cp:revision>
</cp:coreProperties>
</file>